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B9" w:rsidRPr="002C2EB9" w:rsidRDefault="002C2EB9" w:rsidP="002C2E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Альтернативные датчики для металлоискателя Кощей-20М </w:t>
      </w:r>
    </w:p>
    <w:p w:rsidR="002C2EB9" w:rsidRPr="002C2EB9" w:rsidRDefault="002C2EB9" w:rsidP="002C2E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 3. Датчики от металлоискателей </w:t>
      </w:r>
      <w:proofErr w:type="spellStart"/>
      <w:r w:rsidRPr="002C2EB9">
        <w:rPr>
          <w:rFonts w:ascii="Times New Roman" w:eastAsia="Times New Roman" w:hAnsi="Times New Roman" w:cs="Times New Roman"/>
          <w:b/>
          <w:bCs/>
          <w:sz w:val="24"/>
          <w:szCs w:val="24"/>
        </w:rPr>
        <w:t>Garrett</w:t>
      </w:r>
      <w:proofErr w:type="spellEnd"/>
      <w:r w:rsidRPr="002C2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C2EB9" w:rsidRPr="002C2EB9" w:rsidRDefault="002C2EB9" w:rsidP="002C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Наверное мы не сильно ошибемся, если скажем, что в наших краях самые распространенные </w:t>
      </w:r>
      <w:proofErr w:type="spellStart"/>
      <w:r w:rsidRPr="002C2EB9">
        <w:rPr>
          <w:rFonts w:ascii="Times New Roman" w:eastAsia="Times New Roman" w:hAnsi="Times New Roman" w:cs="Times New Roman"/>
          <w:sz w:val="24"/>
          <w:szCs w:val="24"/>
        </w:rPr>
        <w:t>брендовые</w:t>
      </w:r>
      <w:proofErr w:type="spell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 металлоискатели - это приборы фирмы </w:t>
      </w:r>
      <w:proofErr w:type="spellStart"/>
      <w:proofErr w:type="gramStart"/>
      <w:r w:rsidRPr="002C2EB9">
        <w:rPr>
          <w:rFonts w:ascii="Times New Roman" w:eastAsia="Times New Roman" w:hAnsi="Times New Roman" w:cs="Times New Roman"/>
          <w:sz w:val="24"/>
          <w:szCs w:val="24"/>
        </w:rPr>
        <w:t>фирмы</w:t>
      </w:r>
      <w:proofErr w:type="spellEnd"/>
      <w:proofErr w:type="gram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2EB9">
        <w:rPr>
          <w:rFonts w:ascii="Times New Roman" w:eastAsia="Times New Roman" w:hAnsi="Times New Roman" w:cs="Times New Roman"/>
          <w:sz w:val="24"/>
          <w:szCs w:val="24"/>
        </w:rPr>
        <w:t>Garrett</w:t>
      </w:r>
      <w:proofErr w:type="spell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 (в основном за счет бюджетной модели ACE 250). Поэтому </w:t>
      </w:r>
      <w:proofErr w:type="spellStart"/>
      <w:r w:rsidRPr="002C2EB9">
        <w:rPr>
          <w:rFonts w:ascii="Times New Roman" w:eastAsia="Times New Roman" w:hAnsi="Times New Roman" w:cs="Times New Roman"/>
          <w:sz w:val="24"/>
          <w:szCs w:val="24"/>
        </w:rPr>
        <w:t>гарретовские</w:t>
      </w:r>
      <w:proofErr w:type="spell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 датчики (новые </w:t>
      </w:r>
      <w:proofErr w:type="gramStart"/>
      <w:r w:rsidRPr="002C2EB9">
        <w:rPr>
          <w:rFonts w:ascii="Times New Roman" w:eastAsia="Times New Roman" w:hAnsi="Times New Roman" w:cs="Times New Roman"/>
          <w:sz w:val="24"/>
          <w:szCs w:val="24"/>
        </w:rPr>
        <w:t>и б</w:t>
      </w:r>
      <w:proofErr w:type="gram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/у) вполне доступны и интересны в плане совместимости с Кощеем-20М. Для исследования мы выбрали три модели: 6,5x9" </w:t>
      </w:r>
      <w:proofErr w:type="spellStart"/>
      <w:r w:rsidRPr="002C2EB9">
        <w:rPr>
          <w:rFonts w:ascii="Times New Roman" w:eastAsia="Times New Roman" w:hAnsi="Times New Roman" w:cs="Times New Roman"/>
          <w:sz w:val="24"/>
          <w:szCs w:val="24"/>
        </w:rPr>
        <w:t>PROformance</w:t>
      </w:r>
      <w:proofErr w:type="spell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2EB9">
        <w:rPr>
          <w:rFonts w:ascii="Times New Roman" w:eastAsia="Times New Roman" w:hAnsi="Times New Roman" w:cs="Times New Roman"/>
          <w:sz w:val="24"/>
          <w:szCs w:val="24"/>
        </w:rPr>
        <w:t>Elliptical</w:t>
      </w:r>
      <w:proofErr w:type="spell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, 7x10" </w:t>
      </w:r>
      <w:proofErr w:type="spellStart"/>
      <w:r w:rsidRPr="002C2EB9">
        <w:rPr>
          <w:rFonts w:ascii="Times New Roman" w:eastAsia="Times New Roman" w:hAnsi="Times New Roman" w:cs="Times New Roman"/>
          <w:sz w:val="24"/>
          <w:szCs w:val="24"/>
        </w:rPr>
        <w:t>PROformance</w:t>
      </w:r>
      <w:proofErr w:type="spell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2EB9">
        <w:rPr>
          <w:rFonts w:ascii="Times New Roman" w:eastAsia="Times New Roman" w:hAnsi="Times New Roman" w:cs="Times New Roman"/>
          <w:sz w:val="24"/>
          <w:szCs w:val="24"/>
        </w:rPr>
        <w:t>Elliptical</w:t>
      </w:r>
      <w:proofErr w:type="spell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 и 10x14" </w:t>
      </w:r>
      <w:proofErr w:type="spellStart"/>
      <w:r w:rsidRPr="002C2EB9">
        <w:rPr>
          <w:rFonts w:ascii="Times New Roman" w:eastAsia="Times New Roman" w:hAnsi="Times New Roman" w:cs="Times New Roman"/>
          <w:sz w:val="24"/>
          <w:szCs w:val="24"/>
        </w:rPr>
        <w:t>PROformance</w:t>
      </w:r>
      <w:proofErr w:type="spell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2EB9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 DD. </w:t>
      </w:r>
    </w:p>
    <w:p w:rsidR="002C2EB9" w:rsidRPr="002C2EB9" w:rsidRDefault="002C2EB9" w:rsidP="002C2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2695575"/>
            <wp:effectExtent l="19050" t="0" r="0" b="0"/>
            <wp:docPr id="1" name="Рисунок 1" descr="http://metdet.ru/Sensor_G_files/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det.ru/Sensor_G_files/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EB9" w:rsidRPr="002C2EB9" w:rsidRDefault="002C2EB9" w:rsidP="002C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B9">
        <w:rPr>
          <w:rFonts w:ascii="Times New Roman" w:eastAsia="Times New Roman" w:hAnsi="Times New Roman" w:cs="Times New Roman"/>
          <w:sz w:val="24"/>
          <w:szCs w:val="24"/>
        </w:rPr>
        <w:t>Несмотря на то, что из маркетинговых соображений эти модели датчиков позиционируются производителем для приборов разных ценовых категорий, отзывы на поисковых форумах говорят о том, что они вполне взаимозаменяемы. Мы также проверили их работоспособность с ACE 250 и GTP 1350. Действительно оба прибора работали со всеми датчиками вполне нормально. Анализ электрических параметров датчиков показал, что их передающая часть выполнена примерно одинаково и представляет собой катушку индуктивности с индуктивностью около 2.5мГн и сопротивлением около 4Ом. Приемная часть у датчиков заметно различается. У самого меньшего там "</w:t>
      </w:r>
      <w:proofErr w:type="spellStart"/>
      <w:r w:rsidRPr="002C2EB9">
        <w:rPr>
          <w:rFonts w:ascii="Times New Roman" w:eastAsia="Times New Roman" w:hAnsi="Times New Roman" w:cs="Times New Roman"/>
          <w:sz w:val="24"/>
          <w:szCs w:val="24"/>
        </w:rPr>
        <w:t>прозванивалась</w:t>
      </w:r>
      <w:proofErr w:type="spell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" обычная катушка индуктивности, другие, по-видимому, содержат дополнительные компенсирующие и согласующие цепи. Упрощенная обобщенная схема датчиков показана на рисунке ниже. </w:t>
      </w:r>
    </w:p>
    <w:p w:rsidR="002C2EB9" w:rsidRPr="002C2EB9" w:rsidRDefault="002C2EB9" w:rsidP="002C2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2857500"/>
            <wp:effectExtent l="19050" t="0" r="0" b="0"/>
            <wp:docPr id="2" name="Рисунок 2" descr="http://metdet.ru/Sensor_G_files/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tdet.ru/Sensor_G_files/G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EB9" w:rsidRPr="002C2EB9" w:rsidRDefault="002C2EB9" w:rsidP="002C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Из этой схемы видно, что передающая цепь датчика не содержит контурного конденсатора. В </w:t>
      </w:r>
      <w:proofErr w:type="spellStart"/>
      <w:r w:rsidRPr="002C2EB9">
        <w:rPr>
          <w:rFonts w:ascii="Times New Roman" w:eastAsia="Times New Roman" w:hAnsi="Times New Roman" w:cs="Times New Roman"/>
          <w:sz w:val="24"/>
          <w:szCs w:val="24"/>
        </w:rPr>
        <w:t>Гарретах</w:t>
      </w:r>
      <w:proofErr w:type="spell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 он располагается внутри электронного блока. Этот факт сразу же вызывает соблазн попробовать такие датчики в качестве </w:t>
      </w:r>
      <w:proofErr w:type="gramStart"/>
      <w:r w:rsidRPr="002C2EB9">
        <w:rPr>
          <w:rFonts w:ascii="Times New Roman" w:eastAsia="Times New Roman" w:hAnsi="Times New Roman" w:cs="Times New Roman"/>
          <w:sz w:val="24"/>
          <w:szCs w:val="24"/>
        </w:rPr>
        <w:t>нерезонансных</w:t>
      </w:r>
      <w:proofErr w:type="gramEnd"/>
      <w:r w:rsidRPr="002C2EB9">
        <w:rPr>
          <w:rFonts w:ascii="Times New Roman" w:eastAsia="Times New Roman" w:hAnsi="Times New Roman" w:cs="Times New Roman"/>
          <w:sz w:val="24"/>
          <w:szCs w:val="24"/>
        </w:rPr>
        <w:t>. Однако передающая катушка датчиков имеет достаточно высокую индуктивность, что не внушает особого оптимизма в плане получения приемлемых глубин обнаружения - в такую катушку без резонанса не получится "закачать" достаточно большой ток. В результате напряженность поля, создаваемая датчиком, будет слабоватой. К тому же неизвестно, как поведут себя в диапазоне частот встроенные в датчик компенсирующие цепи. Поэтому приступим сразу к резонансному включению. Расчеты показывают, что для создания резонанса вблизи 7кГ</w:t>
      </w:r>
      <w:proofErr w:type="gramStart"/>
      <w:r w:rsidRPr="002C2EB9">
        <w:rPr>
          <w:rFonts w:ascii="Times New Roman" w:eastAsia="Times New Roman" w:hAnsi="Times New Roman" w:cs="Times New Roman"/>
          <w:sz w:val="24"/>
          <w:szCs w:val="24"/>
        </w:rPr>
        <w:t>ц(</w:t>
      </w:r>
      <w:proofErr w:type="gram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рабочий диапазон </w:t>
      </w:r>
      <w:proofErr w:type="spellStart"/>
      <w:r w:rsidRPr="002C2EB9">
        <w:rPr>
          <w:rFonts w:ascii="Times New Roman" w:eastAsia="Times New Roman" w:hAnsi="Times New Roman" w:cs="Times New Roman"/>
          <w:sz w:val="24"/>
          <w:szCs w:val="24"/>
        </w:rPr>
        <w:t>Гарретов</w:t>
      </w:r>
      <w:proofErr w:type="spell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) нам потребуется конденсатор со стандартным номиналом 0.22мкФ. Естественно, это должен быть </w:t>
      </w:r>
      <w:proofErr w:type="spellStart"/>
      <w:r w:rsidRPr="002C2EB9">
        <w:rPr>
          <w:rFonts w:ascii="Times New Roman" w:eastAsia="Times New Roman" w:hAnsi="Times New Roman" w:cs="Times New Roman"/>
          <w:sz w:val="24"/>
          <w:szCs w:val="24"/>
        </w:rPr>
        <w:t>термостабильный</w:t>
      </w:r>
      <w:proofErr w:type="spell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 пленочный конденсатор. Для подключения к Кощею-20М </w:t>
      </w:r>
      <w:r w:rsidRPr="002C2EB9">
        <w:rPr>
          <w:rFonts w:ascii="Times New Roman" w:eastAsia="Times New Roman" w:hAnsi="Times New Roman" w:cs="Times New Roman"/>
          <w:b/>
          <w:sz w:val="24"/>
          <w:szCs w:val="24"/>
        </w:rPr>
        <w:t>СО СТАРЫМ РАЗЪЕМОМ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нам нужно будет изготовить переходник, схема которого показана ниже. </w:t>
      </w:r>
      <w:r w:rsidRPr="002C2EB9">
        <w:rPr>
          <w:rFonts w:ascii="Times New Roman" w:eastAsia="Times New Roman" w:hAnsi="Times New Roman" w:cs="Times New Roman"/>
          <w:b/>
          <w:sz w:val="24"/>
          <w:szCs w:val="24"/>
        </w:rPr>
        <w:t>На более новых приборах, уже установлен разъем не требующий перепайки!</w:t>
      </w:r>
      <w:r w:rsidR="00D17BE4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можно сразу переходить к настройке…</w:t>
      </w:r>
    </w:p>
    <w:p w:rsidR="002C2EB9" w:rsidRPr="002C2EB9" w:rsidRDefault="002C2EB9" w:rsidP="002C2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2857500"/>
            <wp:effectExtent l="19050" t="0" r="0" b="0"/>
            <wp:docPr id="3" name="Рисунок 3" descr="http://metdet.ru/Sensor_G_files/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tdet.ru/Sensor_G_files/G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EB9" w:rsidRPr="002C2EB9" w:rsidRDefault="002C2EB9" w:rsidP="002C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Для монтажа приемной цепи нужно использовать отрезок тонкого </w:t>
      </w:r>
      <w:proofErr w:type="spellStart"/>
      <w:r w:rsidRPr="002C2EB9">
        <w:rPr>
          <w:rFonts w:ascii="Times New Roman" w:eastAsia="Times New Roman" w:hAnsi="Times New Roman" w:cs="Times New Roman"/>
          <w:sz w:val="24"/>
          <w:szCs w:val="24"/>
        </w:rPr>
        <w:t>эканированного</w:t>
      </w:r>
      <w:proofErr w:type="spell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 кабеля. Остальные цепи выполняются короткими проводниками. Конденсатор можно </w:t>
      </w:r>
      <w:r w:rsidRPr="002C2E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смонтировать непосредственно на контактах разъема. Все это нужно поместить внутрь какой-нибудь подходящей коробочки. На фото ниже в качестве примера показано использование в этих целях радиолюбительского корпуса Z-84. В нем были предварительно просверлены </w:t>
      </w:r>
      <w:proofErr w:type="spellStart"/>
      <w:r w:rsidRPr="002C2EB9">
        <w:rPr>
          <w:rFonts w:ascii="Times New Roman" w:eastAsia="Times New Roman" w:hAnsi="Times New Roman" w:cs="Times New Roman"/>
          <w:sz w:val="24"/>
          <w:szCs w:val="24"/>
        </w:rPr>
        <w:t>отвестия</w:t>
      </w:r>
      <w:proofErr w:type="spell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 под разъемы, затем выполнен весь монтаж. Обращаем ваше внимание, что здесь разъем FQ14-7T был использован без кожуха. После проверки правильности монтажа корпус был аккуратно залит </w:t>
      </w:r>
      <w:proofErr w:type="spellStart"/>
      <w:r w:rsidRPr="002C2EB9">
        <w:rPr>
          <w:rFonts w:ascii="Times New Roman" w:eastAsia="Times New Roman" w:hAnsi="Times New Roman" w:cs="Times New Roman"/>
          <w:sz w:val="24"/>
          <w:szCs w:val="24"/>
        </w:rPr>
        <w:t>термоклеем</w:t>
      </w:r>
      <w:proofErr w:type="spell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 для придания жесткости проводникам и закрепления разъемов. </w:t>
      </w:r>
    </w:p>
    <w:p w:rsidR="002C2EB9" w:rsidRPr="002C2EB9" w:rsidRDefault="002C2EB9" w:rsidP="002C2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2438400"/>
            <wp:effectExtent l="19050" t="0" r="0" b="0"/>
            <wp:docPr id="4" name="Рисунок 4" descr="http://metdet.ru/Sensor_G_files/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tdet.ru/Sensor_G_files/G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EB9" w:rsidRPr="002C2EB9" w:rsidRDefault="002C2EB9" w:rsidP="002C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Далее подключаем датчик к Кощею-20М через изготовленный переходник и </w:t>
      </w:r>
      <w:r w:rsidRPr="00D17B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приступаем к настройке</w:t>
      </w:r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. Для этого входим в режим "Калибровка тракта" и выбираем под испытуемый датчик свободный профиль. Подробности работы в этом режиме описаны в </w:t>
      </w:r>
      <w:r w:rsidR="00EF3961">
        <w:rPr>
          <w:rFonts w:ascii="Times New Roman" w:eastAsia="Times New Roman" w:hAnsi="Times New Roman" w:cs="Times New Roman"/>
          <w:sz w:val="24"/>
          <w:szCs w:val="24"/>
        </w:rPr>
        <w:t>статье</w:t>
      </w:r>
      <w:proofErr w:type="gramStart"/>
      <w:r w:rsidR="00EF396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F3961">
        <w:rPr>
          <w:rFonts w:ascii="Times New Roman" w:eastAsia="Times New Roman" w:hAnsi="Times New Roman" w:cs="Times New Roman"/>
          <w:sz w:val="24"/>
          <w:szCs w:val="24"/>
        </w:rPr>
        <w:t xml:space="preserve"> ИЗГОТОВЛЕНИЕ ШИРОКОПОЛОСНОЙ КАТУШКИ ДЛЯ МЕТАЛЛОИСКАТЕЛЯ КОЩЕЙ 20М</w:t>
      </w:r>
      <w:proofErr w:type="gramStart"/>
      <w:r w:rsidRPr="002C2E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2C2EB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 Далее устанавливаем амплитуду сигнала ТХ равной 37 и начинаем поиск резонансной частоты, наблюдая за током выходного каскада. Убеждаемся, что максимум тока действительно наблюдается вблизи 7кГц. В нашем случае получилось 6.94кГц, при этом ток выходного каскада составлял около 120мА. Также убеждаемся по показаниям шкал X и Y , что датчик сбалансирова</w:t>
      </w:r>
      <w:proofErr w:type="gramStart"/>
      <w:r w:rsidRPr="002C2EB9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шкалы не в насыщении). В нашем случае лучше всего оказался сбалансирован DD-датчик, хуже всего большой эллиптический. Но в любом случае баланс у всех был настолько хорош, что можно было обойтись без электронной компенсации. Далее проводим фазовую калибровку тракта с помощью феррита. Здесь нас ждала маленькая неприятность. К сожалению, у всех трех датчиков фазовый угол отличался на несколько градусов. </w:t>
      </w:r>
      <w:proofErr w:type="spellStart"/>
      <w:r w:rsidRPr="002C2EB9">
        <w:rPr>
          <w:rFonts w:ascii="Times New Roman" w:eastAsia="Times New Roman" w:hAnsi="Times New Roman" w:cs="Times New Roman"/>
          <w:sz w:val="24"/>
          <w:szCs w:val="24"/>
        </w:rPr>
        <w:t>Повидимому</w:t>
      </w:r>
      <w:proofErr w:type="spell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 это связано с отличием ФЧХ входных цепей </w:t>
      </w:r>
      <w:proofErr w:type="spellStart"/>
      <w:r w:rsidRPr="002C2EB9">
        <w:rPr>
          <w:rFonts w:ascii="Times New Roman" w:eastAsia="Times New Roman" w:hAnsi="Times New Roman" w:cs="Times New Roman"/>
          <w:sz w:val="24"/>
          <w:szCs w:val="24"/>
        </w:rPr>
        <w:t>гарретовских</w:t>
      </w:r>
      <w:proofErr w:type="spell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 МД и Кощея-20М, а также возможно с небольшим отличием рабочей частоты. На практике это означает, что не получится настроить один профиль под "любой </w:t>
      </w:r>
      <w:proofErr w:type="spellStart"/>
      <w:r w:rsidRPr="002C2EB9">
        <w:rPr>
          <w:rFonts w:ascii="Times New Roman" w:eastAsia="Times New Roman" w:hAnsi="Times New Roman" w:cs="Times New Roman"/>
          <w:sz w:val="24"/>
          <w:szCs w:val="24"/>
        </w:rPr>
        <w:t>гарретовский</w:t>
      </w:r>
      <w:proofErr w:type="spell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 датчик". Пришлось настраивать по профилю под каждый экземпляр датчика. Далее нами были проведены воздушные тесты на некоторые типовые мишени. Результаты сведены в таблицу ниже. Для сравнения там же размещены и данные тестов для ACE 250 и GTP 1350. Во всех случаях у приборов накручивалась максимальная чувствительность, при которой не было ложных откликов.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07"/>
        <w:gridCol w:w="1711"/>
        <w:gridCol w:w="1711"/>
        <w:gridCol w:w="1726"/>
      </w:tblGrid>
      <w:tr w:rsidR="002C2EB9" w:rsidRPr="002C2EB9" w:rsidTr="002C2EB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ACE 250 </w:t>
            </w:r>
          </w:p>
        </w:tc>
      </w:tr>
      <w:tr w:rsidR="002C2EB9" w:rsidRPr="002C2EB9" w:rsidTr="002C2EB9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6,5x9"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7x10"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10x14"</w:t>
            </w:r>
          </w:p>
        </w:tc>
      </w:tr>
      <w:tr w:rsidR="002C2EB9" w:rsidRPr="002C2EB9" w:rsidTr="002C2EB9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   1 копейка СССР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18см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19см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19см</w:t>
            </w:r>
          </w:p>
        </w:tc>
      </w:tr>
      <w:tr w:rsidR="002C2EB9" w:rsidRPr="002C2EB9" w:rsidTr="002C2EB9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   5 копеек СССР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25см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26см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27,5см</w:t>
            </w:r>
          </w:p>
        </w:tc>
      </w:tr>
      <w:tr w:rsidR="002C2EB9" w:rsidRPr="002C2EB9" w:rsidTr="002C2EB9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2 копейки Александра 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21см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23,5см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26,5см</w:t>
            </w:r>
          </w:p>
        </w:tc>
      </w:tr>
    </w:tbl>
    <w:p w:rsidR="002C2EB9" w:rsidRPr="002C2EB9" w:rsidRDefault="002C2EB9" w:rsidP="002C2E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07"/>
        <w:gridCol w:w="1711"/>
        <w:gridCol w:w="1711"/>
        <w:gridCol w:w="1726"/>
      </w:tblGrid>
      <w:tr w:rsidR="002C2EB9" w:rsidRPr="002C2EB9" w:rsidTr="002C2EB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GTP 1350 </w:t>
            </w:r>
          </w:p>
        </w:tc>
      </w:tr>
      <w:tr w:rsidR="002C2EB9" w:rsidRPr="002C2EB9" w:rsidTr="002C2EB9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6,5x9"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7x10"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10x14"</w:t>
            </w:r>
          </w:p>
        </w:tc>
      </w:tr>
      <w:tr w:rsidR="002C2EB9" w:rsidRPr="002C2EB9" w:rsidTr="002C2EB9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   1 копейка СССР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20см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20см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23см</w:t>
            </w:r>
          </w:p>
        </w:tc>
      </w:tr>
      <w:tr w:rsidR="002C2EB9" w:rsidRPr="002C2EB9" w:rsidTr="002C2EB9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   5 копеек СССР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28,5см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30см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32см</w:t>
            </w:r>
          </w:p>
        </w:tc>
      </w:tr>
      <w:tr w:rsidR="002C2EB9" w:rsidRPr="002C2EB9" w:rsidTr="002C2EB9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   2 копейки Александра 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23см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26,5см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27см</w:t>
            </w:r>
          </w:p>
        </w:tc>
      </w:tr>
    </w:tbl>
    <w:p w:rsidR="002C2EB9" w:rsidRPr="002C2EB9" w:rsidRDefault="002C2EB9" w:rsidP="002C2E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07"/>
        <w:gridCol w:w="1711"/>
        <w:gridCol w:w="1711"/>
        <w:gridCol w:w="1726"/>
      </w:tblGrid>
      <w:tr w:rsidR="002C2EB9" w:rsidRPr="002C2EB9" w:rsidTr="002C2EB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Кощей-20М </w:t>
            </w:r>
          </w:p>
        </w:tc>
      </w:tr>
      <w:tr w:rsidR="002C2EB9" w:rsidRPr="002C2EB9" w:rsidTr="002C2EB9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6,5x9"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7x10"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10x14"</w:t>
            </w:r>
          </w:p>
        </w:tc>
      </w:tr>
      <w:tr w:rsidR="002C2EB9" w:rsidRPr="002C2EB9" w:rsidTr="002C2EB9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   1 копейка СССР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19,5см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20см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20см</w:t>
            </w:r>
          </w:p>
        </w:tc>
      </w:tr>
      <w:tr w:rsidR="002C2EB9" w:rsidRPr="002C2EB9" w:rsidTr="002C2EB9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   5 копеек СССР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29см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30см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30,5см</w:t>
            </w:r>
          </w:p>
        </w:tc>
      </w:tr>
      <w:tr w:rsidR="002C2EB9" w:rsidRPr="002C2EB9" w:rsidTr="002C2EB9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   2 копейки Александра 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26см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27см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C2EB9" w:rsidRPr="002C2EB9" w:rsidRDefault="002C2EB9" w:rsidP="002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B9">
              <w:rPr>
                <w:rFonts w:ascii="Times New Roman" w:eastAsia="Times New Roman" w:hAnsi="Times New Roman" w:cs="Times New Roman"/>
                <w:sz w:val="24"/>
                <w:szCs w:val="24"/>
              </w:rPr>
              <w:t>28,5см</w:t>
            </w:r>
          </w:p>
        </w:tc>
      </w:tr>
    </w:tbl>
    <w:p w:rsidR="002C2EB9" w:rsidRPr="002C2EB9" w:rsidRDefault="002C2EB9" w:rsidP="002C2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EB9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</w:t>
      </w:r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2EB9" w:rsidRPr="002C2EB9" w:rsidRDefault="002C2EB9" w:rsidP="002C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Как видно из результатов теста, Кощей-20М работает с </w:t>
      </w:r>
      <w:proofErr w:type="spellStart"/>
      <w:r w:rsidRPr="002C2EB9">
        <w:rPr>
          <w:rFonts w:ascii="Times New Roman" w:eastAsia="Times New Roman" w:hAnsi="Times New Roman" w:cs="Times New Roman"/>
          <w:sz w:val="24"/>
          <w:szCs w:val="24"/>
        </w:rPr>
        <w:t>гарретовскими</w:t>
      </w:r>
      <w:proofErr w:type="spell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 датчиками однозначно лучше ACE250, практически на уровне GTP1350. Если планируется использовать электронный блок Кощея-20М только с </w:t>
      </w:r>
      <w:proofErr w:type="spellStart"/>
      <w:r w:rsidRPr="002C2EB9">
        <w:rPr>
          <w:rFonts w:ascii="Times New Roman" w:eastAsia="Times New Roman" w:hAnsi="Times New Roman" w:cs="Times New Roman"/>
          <w:sz w:val="24"/>
          <w:szCs w:val="24"/>
        </w:rPr>
        <w:t>гарретовскими</w:t>
      </w:r>
      <w:proofErr w:type="spell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 датчиками, то имеет смысл избавиться от переходника, переделав блок под </w:t>
      </w:r>
      <w:proofErr w:type="spellStart"/>
      <w:r w:rsidRPr="002C2EB9">
        <w:rPr>
          <w:rFonts w:ascii="Times New Roman" w:eastAsia="Times New Roman" w:hAnsi="Times New Roman" w:cs="Times New Roman"/>
          <w:sz w:val="24"/>
          <w:szCs w:val="24"/>
        </w:rPr>
        <w:t>гарретовский</w:t>
      </w:r>
      <w:proofErr w:type="spell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 стандарт. Для этого потребуется заменить разъем датчика на </w:t>
      </w:r>
      <w:proofErr w:type="spellStart"/>
      <w:r w:rsidRPr="002C2EB9">
        <w:rPr>
          <w:rFonts w:ascii="Times New Roman" w:eastAsia="Times New Roman" w:hAnsi="Times New Roman" w:cs="Times New Roman"/>
          <w:sz w:val="24"/>
          <w:szCs w:val="24"/>
        </w:rPr>
        <w:t>mini</w:t>
      </w:r>
      <w:proofErr w:type="spell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 XLR и поместить внутрь блока контурный конденсатор. Схема такого блока показана </w:t>
      </w:r>
      <w:hyperlink r:id="rId8" w:history="1">
        <w:r w:rsidRPr="002C2E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здесь </w:t>
        </w:r>
      </w:hyperlink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C2EB9">
        <w:rPr>
          <w:rFonts w:ascii="Times New Roman" w:eastAsia="Times New Roman" w:hAnsi="Times New Roman" w:cs="Times New Roman"/>
          <w:sz w:val="24"/>
          <w:szCs w:val="24"/>
        </w:rPr>
        <w:br/>
        <w:t xml:space="preserve">Слабое место сопряжения Кощея-20М с </w:t>
      </w:r>
      <w:proofErr w:type="spellStart"/>
      <w:r w:rsidRPr="002C2EB9">
        <w:rPr>
          <w:rFonts w:ascii="Times New Roman" w:eastAsia="Times New Roman" w:hAnsi="Times New Roman" w:cs="Times New Roman"/>
          <w:sz w:val="24"/>
          <w:szCs w:val="24"/>
        </w:rPr>
        <w:t>гарретовскими</w:t>
      </w:r>
      <w:proofErr w:type="spellEnd"/>
      <w:r w:rsidRPr="002C2EB9">
        <w:rPr>
          <w:rFonts w:ascii="Times New Roman" w:eastAsia="Times New Roman" w:hAnsi="Times New Roman" w:cs="Times New Roman"/>
          <w:sz w:val="24"/>
          <w:szCs w:val="24"/>
        </w:rPr>
        <w:t xml:space="preserve"> датчиками мы описали выше - к сожалению, под каждый экземпляр датчика придется подстраиваться индивидуально, а при смене датчика - менять соответствующий профиль, сохраненный при настройке. </w:t>
      </w:r>
    </w:p>
    <w:p w:rsidR="00746CE7" w:rsidRDefault="00746CE7"/>
    <w:sectPr w:rsidR="00746CE7" w:rsidSect="007D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EB9"/>
    <w:rsid w:val="002C2EB9"/>
    <w:rsid w:val="00746CE7"/>
    <w:rsid w:val="007D2DEA"/>
    <w:rsid w:val="00D17BE4"/>
    <w:rsid w:val="00EF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EA"/>
  </w:style>
  <w:style w:type="paragraph" w:styleId="4">
    <w:name w:val="heading 4"/>
    <w:basedOn w:val="a"/>
    <w:link w:val="40"/>
    <w:uiPriority w:val="9"/>
    <w:qFormat/>
    <w:rsid w:val="002C2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2E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C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2E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det.ru/IB/sch22g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4</cp:revision>
  <dcterms:created xsi:type="dcterms:W3CDTF">2015-12-25T20:13:00Z</dcterms:created>
  <dcterms:modified xsi:type="dcterms:W3CDTF">2015-12-25T20:22:00Z</dcterms:modified>
</cp:coreProperties>
</file>